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90" w:rsidRPr="0085464A" w:rsidRDefault="00D265F5" w:rsidP="007E09EA">
      <w:bookmarkStart w:id="0" w:name="_GoBack"/>
      <w:bookmarkEnd w:id="0"/>
      <w:r w:rsidRPr="0085464A">
        <w:rPr>
          <w:b/>
        </w:rPr>
        <w:t xml:space="preserve">Bağlı Olduğu Alt Süreç: </w:t>
      </w:r>
      <w:r w:rsidRPr="0085464A">
        <w:t>Öğrenci İşleri Alt Süreci</w:t>
      </w:r>
    </w:p>
    <w:p w:rsidR="00C21D90" w:rsidRPr="0085464A" w:rsidRDefault="00D265F5" w:rsidP="007E09EA">
      <w:pPr>
        <w:rPr>
          <w:b/>
        </w:rPr>
      </w:pPr>
      <w:r w:rsidRPr="0085464A">
        <w:rPr>
          <w:b/>
        </w:rPr>
        <w:t>Sürecin Sorumluları:</w:t>
      </w:r>
      <w:r w:rsidRPr="0085464A">
        <w:t xml:space="preserve"> Öğrenci İşleri Daire Başkanı, Otomasyon ve Raporlama Şube Müdürü</w:t>
      </w:r>
    </w:p>
    <w:p w:rsidR="00C21D90" w:rsidRPr="0085464A" w:rsidRDefault="00D265F5" w:rsidP="007E09EA">
      <w:pPr>
        <w:rPr>
          <w:b/>
        </w:rPr>
      </w:pPr>
      <w:r w:rsidRPr="0085464A">
        <w:rPr>
          <w:b/>
        </w:rPr>
        <w:t>Sürecin Uygulayıcıları:</w:t>
      </w:r>
      <w:r w:rsidRPr="0085464A">
        <w:rPr>
          <w:szCs w:val="24"/>
        </w:rPr>
        <w:t xml:space="preserve"> Otomasyon ve Raporlama Şube Müdürlüğü</w:t>
      </w:r>
    </w:p>
    <w:p w:rsidR="00C21D90" w:rsidRPr="0085464A" w:rsidRDefault="00D265F5" w:rsidP="007E09EA">
      <w:pPr>
        <w:rPr>
          <w:lang w:eastAsia="tr-TR"/>
        </w:rPr>
      </w:pPr>
      <w:r w:rsidRPr="0085464A">
        <w:rPr>
          <w:b/>
          <w:lang w:eastAsia="tr-TR"/>
        </w:rPr>
        <w:t>Sürecin Amacı:</w:t>
      </w:r>
      <w:r w:rsidRPr="0085464A">
        <w:rPr>
          <w:lang w:eastAsia="tr-TR"/>
        </w:rPr>
        <w:t xml:space="preserve"> Teknolojik gelişmeler doğrultusunda yükseköğretim alanında ortaya çıkan gelişmeler ile sanayi ve toplumun değişen ihtiyaç ve beklentilerini karşılanması amacı ile mevcut bölüm ve programların ders plan ve programlarının güncellenmesi faaliyetlerinin yürüt</w:t>
      </w:r>
      <w:r w:rsidRPr="0085464A">
        <w:rPr>
          <w:lang w:eastAsia="tr-TR"/>
        </w:rPr>
        <w:t>ülmesi için gerekli alt yapının sağlanması</w:t>
      </w:r>
    </w:p>
    <w:p w:rsidR="00C21D90" w:rsidRPr="0085464A" w:rsidRDefault="00D265F5" w:rsidP="007E09EA">
      <w:pPr>
        <w:rPr>
          <w:szCs w:val="24"/>
          <w:lang w:eastAsia="tr-TR"/>
        </w:rPr>
      </w:pPr>
      <w:r w:rsidRPr="0085464A">
        <w:rPr>
          <w:b/>
          <w:lang w:eastAsia="tr-TR"/>
        </w:rPr>
        <w:t>Sürecin Girdileri:</w:t>
      </w:r>
      <w:r w:rsidRPr="0085464A">
        <w:rPr>
          <w:sz w:val="28"/>
          <w:lang w:eastAsia="tr-TR"/>
        </w:rPr>
        <w:t xml:space="preserve"> </w:t>
      </w:r>
      <w:r w:rsidRPr="0085464A">
        <w:rPr>
          <w:szCs w:val="24"/>
          <w:lang w:eastAsia="tr-TR"/>
        </w:rPr>
        <w:t>Paydaş Beklenti ve Talepleri, Altyapı, Yazılım ve Donanım</w:t>
      </w:r>
    </w:p>
    <w:p w:rsidR="00C21D90" w:rsidRPr="0085464A" w:rsidRDefault="00D265F5" w:rsidP="007E09EA">
      <w:pPr>
        <w:rPr>
          <w:b/>
          <w:lang w:eastAsia="tr-TR"/>
        </w:rPr>
      </w:pPr>
      <w:r w:rsidRPr="0085464A">
        <w:rPr>
          <w:b/>
          <w:lang w:eastAsia="tr-TR"/>
        </w:rPr>
        <w:t>Sürecin Faaliyetleri:</w:t>
      </w:r>
    </w:p>
    <w:p w:rsidR="00C21D90" w:rsidRPr="0085464A" w:rsidRDefault="00D265F5" w:rsidP="007E09EA">
      <w:pPr>
        <w:pStyle w:val="Faaliyetler-1"/>
      </w:pPr>
      <w:r w:rsidRPr="0085464A">
        <w:t>Akademik birimler tarafından ders plan ve programlarının güncellenmesi sürecinin işletilmesi</w:t>
      </w:r>
    </w:p>
    <w:p w:rsidR="00C21D90" w:rsidRPr="0085464A" w:rsidRDefault="00D265F5" w:rsidP="007E09EA">
      <w:pPr>
        <w:pStyle w:val="Faaliyetler-1"/>
      </w:pPr>
      <w:r w:rsidRPr="0085464A">
        <w:t>Yapılan değişiklikler</w:t>
      </w:r>
      <w:r w:rsidRPr="0085464A">
        <w:t>e ilişkin kararların senatonun onayına sunulmak üzere üst yazı ile ÖİDB’na gönderilmesi</w:t>
      </w:r>
    </w:p>
    <w:p w:rsidR="00C21D90" w:rsidRPr="0085464A" w:rsidRDefault="00D265F5" w:rsidP="007E09EA">
      <w:pPr>
        <w:pStyle w:val="Faaliyetler-1"/>
      </w:pPr>
      <w:r w:rsidRPr="0085464A">
        <w:t xml:space="preserve">Alınan güncelleme kararlarının uygunluğunun kontrol edilmesi için ÖİDB tarafından SUBÜ Eğitim Komisyonuna gönderilmesi </w:t>
      </w:r>
    </w:p>
    <w:p w:rsidR="00C21D90" w:rsidRPr="0085464A" w:rsidRDefault="00D265F5" w:rsidP="007E09EA">
      <w:pPr>
        <w:pStyle w:val="Faaliyetler-1"/>
      </w:pPr>
      <w:r w:rsidRPr="0085464A">
        <w:t>Güncelleme kararı SUBÜ eğitim komisyonu tarafınd</w:t>
      </w:r>
      <w:r w:rsidRPr="0085464A">
        <w:t>an uygun görülür ise karara bağlanmak üzere senatoya gönderilmesi</w:t>
      </w:r>
    </w:p>
    <w:p w:rsidR="00C21D90" w:rsidRPr="0085464A" w:rsidRDefault="00D265F5" w:rsidP="007E09EA">
      <w:pPr>
        <w:pStyle w:val="Faaliyetler-1"/>
      </w:pPr>
      <w:r w:rsidRPr="0085464A">
        <w:t xml:space="preserve">Güncelleme kararı SUBÜ eğitim komisyonu tarafından uygun görülmez ise; güncelleme talebinin reddedilmesi ve kararın ilgili birime bildirilmesi </w:t>
      </w:r>
    </w:p>
    <w:p w:rsidR="00C21D90" w:rsidRPr="0085464A" w:rsidRDefault="00D265F5" w:rsidP="007E09EA">
      <w:pPr>
        <w:pStyle w:val="Faaliyetler-1"/>
      </w:pPr>
      <w:r w:rsidRPr="0085464A">
        <w:t>Senato tarafından kabul edilen ders plan ve pr</w:t>
      </w:r>
      <w:r w:rsidRPr="0085464A">
        <w:t>ogramlarına yönelik EBS’de gerekli düzenlemelerin yapılması (yeni derslerin sisteme tanımlanması, koordinatör öğretim elemanlarının mevcut derslerin güncellemesini yapmaları için sistem giriş yetkilerinin verilmesi, sisteme veri girişlerinin açılması vb.)</w:t>
      </w:r>
    </w:p>
    <w:p w:rsidR="00C21D90" w:rsidRPr="0085464A" w:rsidRDefault="00D265F5" w:rsidP="007E09EA">
      <w:pPr>
        <w:pStyle w:val="Faaliyetler-1"/>
      </w:pPr>
      <w:r w:rsidRPr="0085464A">
        <w:t>Kabul edilen güncellemelerin ilgili koordinatörler tarafından otomasyon sistemine işlenmesi</w:t>
      </w:r>
    </w:p>
    <w:p w:rsidR="00C21D90" w:rsidRPr="0085464A" w:rsidRDefault="00D265F5" w:rsidP="007E09EA">
      <w:pPr>
        <w:rPr>
          <w:lang w:eastAsia="tr-TR"/>
        </w:rPr>
      </w:pPr>
      <w:r w:rsidRPr="0085464A">
        <w:rPr>
          <w:b/>
          <w:lang w:eastAsia="tr-TR"/>
        </w:rPr>
        <w:t xml:space="preserve">Sürecin Çıktıları: </w:t>
      </w:r>
      <w:r w:rsidRPr="0085464A">
        <w:rPr>
          <w:lang w:eastAsia="tr-TR"/>
        </w:rPr>
        <w:t>Güncellenmiş Ders Plan ve Programları</w:t>
      </w:r>
    </w:p>
    <w:p w:rsidR="00C21D90" w:rsidRPr="0085464A" w:rsidRDefault="00D265F5" w:rsidP="007E09EA">
      <w:pPr>
        <w:rPr>
          <w:b/>
          <w:lang w:eastAsia="tr-TR"/>
        </w:rPr>
      </w:pPr>
      <w:r w:rsidRPr="0085464A">
        <w:rPr>
          <w:b/>
          <w:lang w:eastAsia="tr-TR"/>
        </w:rPr>
        <w:t xml:space="preserve">Sürecin Performans Göstergeleri: </w:t>
      </w:r>
    </w:p>
    <w:p w:rsidR="00C21D90" w:rsidRPr="00015730" w:rsidRDefault="00D265F5" w:rsidP="007E09EA">
      <w:pPr>
        <w:pStyle w:val="Maddeleme"/>
        <w:rPr>
          <w:bCs/>
          <w:lang w:eastAsia="tr-TR"/>
        </w:rPr>
      </w:pPr>
      <w:r w:rsidRPr="00015730">
        <w:rPr>
          <w:bCs/>
          <w:lang w:eastAsia="tr-TR"/>
        </w:rPr>
        <w:t>SPG.4.2.27.1 Ders Planlarının Güncelleme Sayısı</w:t>
      </w:r>
    </w:p>
    <w:p w:rsidR="00C21D90" w:rsidRPr="00015730" w:rsidRDefault="00D265F5" w:rsidP="007E09EA">
      <w:pPr>
        <w:pStyle w:val="Maddeleme"/>
        <w:rPr>
          <w:bCs/>
          <w:lang w:eastAsia="tr-TR"/>
        </w:rPr>
      </w:pPr>
      <w:r w:rsidRPr="00015730">
        <w:rPr>
          <w:bCs/>
          <w:lang w:eastAsia="tr-TR"/>
        </w:rPr>
        <w:t xml:space="preserve">SPG.4.2.27.2 Birimlerden </w:t>
      </w:r>
      <w:r w:rsidRPr="00015730">
        <w:rPr>
          <w:bCs/>
          <w:lang w:eastAsia="tr-TR"/>
        </w:rPr>
        <w:t>Gelen Erişim Hatası Sayısı</w:t>
      </w:r>
    </w:p>
    <w:p w:rsidR="00C21D90" w:rsidRPr="0085464A" w:rsidRDefault="00D265F5" w:rsidP="007E09EA">
      <w:pPr>
        <w:pStyle w:val="Maddeleme"/>
        <w:rPr>
          <w:b/>
          <w:lang w:eastAsia="tr-TR"/>
        </w:rPr>
      </w:pPr>
      <w:r w:rsidRPr="00015730">
        <w:rPr>
          <w:bCs/>
          <w:lang w:eastAsia="tr-TR"/>
        </w:rPr>
        <w:t>SPG.4.2.27.3 Birimlerden Gelen Yetkilendirme Hatası Sayısı</w:t>
      </w:r>
    </w:p>
    <w:p w:rsidR="00C21D90" w:rsidRPr="0085464A" w:rsidRDefault="00D265F5" w:rsidP="007E09EA">
      <w:r w:rsidRPr="0085464A">
        <w:rPr>
          <w:b/>
          <w:bCs/>
        </w:rPr>
        <w:t xml:space="preserve">Sürecin Müşterisi: </w:t>
      </w:r>
      <w:r w:rsidRPr="0085464A">
        <w:t>Akademik Birimler, Öğrenciler</w:t>
      </w:r>
    </w:p>
    <w:p w:rsidR="00C21D90" w:rsidRPr="0085464A" w:rsidRDefault="00D265F5" w:rsidP="007E09EA">
      <w:r w:rsidRPr="0085464A">
        <w:rPr>
          <w:b/>
          <w:bCs/>
        </w:rPr>
        <w:t xml:space="preserve">Sürecin Tedarikçisi: </w:t>
      </w:r>
      <w:r w:rsidRPr="0085464A">
        <w:rPr>
          <w:bCs/>
        </w:rPr>
        <w:t>ÖİDB, Akademik Birimler</w:t>
      </w:r>
    </w:p>
    <w:p w:rsidR="00C21D90" w:rsidRPr="0085464A" w:rsidRDefault="00D265F5" w:rsidP="007E09EA">
      <w:pPr>
        <w:rPr>
          <w:b/>
          <w:bCs/>
        </w:rPr>
      </w:pPr>
      <w:r w:rsidRPr="0085464A">
        <w:rPr>
          <w:b/>
          <w:bCs/>
          <w:szCs w:val="24"/>
        </w:rPr>
        <w:t xml:space="preserve">Süreci Tanımlayanlar: </w:t>
      </w:r>
      <w:r w:rsidRPr="0085464A">
        <w:rPr>
          <w:szCs w:val="24"/>
        </w:rPr>
        <w:t xml:space="preserve">Süreç Sorumlusu ve Uygulayıcıları, Süreç Yönetimi </w:t>
      </w:r>
      <w:r w:rsidRPr="0085464A">
        <w:rPr>
          <w:szCs w:val="24"/>
        </w:rPr>
        <w:t>Çalışma Grubu</w:t>
      </w:r>
    </w:p>
    <w:p w:rsidR="00C21D90" w:rsidRPr="00514F10" w:rsidRDefault="00D265F5" w:rsidP="00514F10">
      <w:r w:rsidRPr="0085464A">
        <w:rPr>
          <w:color w:val="FF0000"/>
        </w:rPr>
        <w:br w:type="page"/>
      </w:r>
    </w:p>
    <w:p w:rsidR="00C21D90" w:rsidRPr="0085464A" w:rsidRDefault="00D265F5" w:rsidP="007E09EA">
      <w:pPr>
        <w:spacing w:after="160" w:line="259" w:lineRule="auto"/>
        <w:jc w:val="center"/>
        <w:rPr>
          <w:color w:val="FF0000"/>
        </w:rPr>
      </w:pPr>
      <w:r w:rsidRPr="0085464A">
        <w:rPr>
          <w:noProof/>
          <w:color w:val="FF0000"/>
          <w:lang w:eastAsia="tr-TR"/>
        </w:rPr>
        <w:lastRenderedPageBreak/>
        <w:drawing>
          <wp:inline distT="0" distB="0" distL="0" distR="0">
            <wp:extent cx="5760720" cy="5753100"/>
            <wp:effectExtent l="0" t="0" r="0" b="0"/>
            <wp:docPr id="59" name="Resim 59" descr="metin, diyagram, ekran görüntüsü, pl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esim 59" descr="metin, diyagram, ekran görüntüsü, plan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90" w:rsidRPr="007E09EA" w:rsidRDefault="00C21D90" w:rsidP="007E09EA">
      <w:pPr>
        <w:spacing w:after="160" w:line="259" w:lineRule="auto"/>
        <w:jc w:val="left"/>
        <w:rPr>
          <w:color w:val="FF0000"/>
        </w:rPr>
      </w:pPr>
    </w:p>
    <w:sectPr w:rsidR="00C21D90" w:rsidRPr="007E09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F5" w:rsidRDefault="00D265F5">
      <w:pPr>
        <w:spacing w:after="0"/>
      </w:pPr>
      <w:r>
        <w:separator/>
      </w:r>
    </w:p>
  </w:endnote>
  <w:endnote w:type="continuationSeparator" w:id="0">
    <w:p w:rsidR="00D265F5" w:rsidRDefault="00D265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0" w:rsidRPr="00EC098A" w:rsidRDefault="00D265F5" w:rsidP="006F3C0B">
    <w:pPr>
      <w:pStyle w:val="Normal1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:rsidR="00C21D90" w:rsidRDefault="00D265F5" w:rsidP="006F3C0B">
                <w:pPr>
                  <w:pStyle w:val="Normal1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F5" w:rsidRDefault="00D265F5">
      <w:pPr>
        <w:spacing w:after="0"/>
      </w:pPr>
      <w:r>
        <w:separator/>
      </w:r>
    </w:p>
  </w:footnote>
  <w:footnote w:type="continuationSeparator" w:id="0">
    <w:p w:rsidR="00D265F5" w:rsidRDefault="00D265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0" w:rsidRPr="00BD1C18" w:rsidRDefault="00D265F5" w:rsidP="00216C5A">
    <w:pPr>
      <w:pStyle w:val="Normal0"/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:rsidR="00C21D90" w:rsidRDefault="00D265F5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270" cy="591293"/>
                      <wp:effectExtent l="0" t="0" r="0" b="0"/>
                      <wp:docPr id="100006" name="Resim 1000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1210"/>
    </w:tblGrid>
    <w:tr w:rsidR="00C21D90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KYS.SRC.4.002.027</w:t>
          </w:r>
        </w:p>
      </w:tc>
    </w:tr>
    <w:tr w:rsidR="00C21D90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C21D90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C21D90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C21D90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C21D90" w:rsidRPr="00EC098A" w:rsidRDefault="00D265F5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1C79A0">
            <w:rPr>
              <w:rFonts w:ascii="Calibri" w:hAnsi="Calibri" w:cs="Calibri"/>
              <w:noProof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1C79A0">
            <w:rPr>
              <w:rFonts w:ascii="Calibri" w:hAnsi="Calibri" w:cs="Calibri"/>
              <w:noProof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:rsidR="00C21D90" w:rsidRPr="00EC098A" w:rsidRDefault="00D265F5" w:rsidP="003F3719">
    <w:pPr>
      <w:pStyle w:val="Normal0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 xml:space="preserve">DERS PLAN VE PROGRAMLARININ </w:t>
    </w:r>
    <w:r w:rsidRPr="00EC098A">
      <w:rPr>
        <w:b/>
        <w:color w:val="000000"/>
        <w:sz w:val="28"/>
        <w:szCs w:val="28"/>
      </w:rPr>
      <w:t>GÜNCELLENMESİ İŞLEMLERİ ALT DETAY SÜRECİ</w:t>
    </w:r>
  </w:p>
  <w:p w:rsidR="00C21D90" w:rsidRPr="003F3719" w:rsidRDefault="00C21D90" w:rsidP="003F3719">
    <w:pPr>
      <w:pStyle w:val="Normal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1D"/>
    <w:multiLevelType w:val="hybridMultilevel"/>
    <w:tmpl w:val="77BAB4CA"/>
    <w:lvl w:ilvl="0" w:tplc="C67AEB70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3ED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67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0E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A2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EE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6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02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8"/>
    <w:rsid w:val="00015730"/>
    <w:rsid w:val="001C79A0"/>
    <w:rsid w:val="00216C5A"/>
    <w:rsid w:val="00266EAE"/>
    <w:rsid w:val="003F3719"/>
    <w:rsid w:val="00514F10"/>
    <w:rsid w:val="005A7C58"/>
    <w:rsid w:val="006F3C0B"/>
    <w:rsid w:val="007E09EA"/>
    <w:rsid w:val="0085464A"/>
    <w:rsid w:val="00BD1C18"/>
    <w:rsid w:val="00C21D90"/>
    <w:rsid w:val="00C8538E"/>
    <w:rsid w:val="00D265F5"/>
    <w:rsid w:val="00E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567AD1-F934-4B03-AFB5-40E28BD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EA"/>
    <w:pPr>
      <w:spacing w:after="12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C26B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6B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B4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26B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26B4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26B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26B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26B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26B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6B4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6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26B4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26B49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26B49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26B4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26B4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26B4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26B4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26B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6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26B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26B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26B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26B4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26B4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26B49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26B4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26B49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26B49"/>
    <w:rPr>
      <w:b/>
      <w:bCs/>
      <w:smallCaps/>
      <w:color w:val="2E74B5" w:themeColor="accent1" w:themeShade="BF"/>
      <w:spacing w:val="5"/>
    </w:rPr>
  </w:style>
  <w:style w:type="paragraph" w:customStyle="1" w:styleId="Maddeleme">
    <w:name w:val="Maddeleme"/>
    <w:basedOn w:val="ListeParagraf"/>
    <w:uiPriority w:val="1"/>
    <w:qFormat/>
    <w:rsid w:val="007E09EA"/>
    <w:pPr>
      <w:numPr>
        <w:numId w:val="1"/>
      </w:numPr>
      <w:tabs>
        <w:tab w:val="left" w:pos="851"/>
      </w:tabs>
      <w:contextualSpacing w:val="0"/>
    </w:pPr>
    <w:rPr>
      <w:rFonts w:cs="Times New Roman"/>
    </w:rPr>
  </w:style>
  <w:style w:type="paragraph" w:customStyle="1" w:styleId="Faaliyetler-1">
    <w:name w:val="Faaliyetler-1"/>
    <w:basedOn w:val="ListeParagraf"/>
    <w:qFormat/>
    <w:rsid w:val="007E09EA"/>
    <w:pPr>
      <w:numPr>
        <w:numId w:val="2"/>
      </w:numPr>
      <w:contextualSpacing w:val="0"/>
    </w:pPr>
    <w:rPr>
      <w:rFonts w:cs="Times New Roman"/>
      <w:szCs w:val="24"/>
    </w:rPr>
  </w:style>
  <w:style w:type="paragraph" w:customStyle="1" w:styleId="Faaliyetler-2">
    <w:name w:val="Faaliyetler-2"/>
    <w:basedOn w:val="Faaliyetler-1"/>
    <w:qFormat/>
    <w:rsid w:val="007E09EA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7E09EA"/>
    <w:pPr>
      <w:numPr>
        <w:ilvl w:val="2"/>
      </w:numPr>
      <w:ind w:left="1701" w:hanging="708"/>
    </w:p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UMUT</dc:creator>
  <cp:lastModifiedBy>SUBU</cp:lastModifiedBy>
  <cp:revision>2</cp:revision>
  <dcterms:created xsi:type="dcterms:W3CDTF">2024-03-18T08:52:00Z</dcterms:created>
  <dcterms:modified xsi:type="dcterms:W3CDTF">2024-03-18T08:52:00Z</dcterms:modified>
</cp:coreProperties>
</file>